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76" w:rsidRPr="006747DB" w:rsidRDefault="00566076" w:rsidP="00CF0F4F">
      <w:pPr>
        <w:jc w:val="right"/>
        <w:rPr>
          <w:rFonts w:ascii="Arial" w:hAnsi="Arial" w:cs="Arial"/>
          <w:i/>
          <w:color w:val="31849B" w:themeColor="accent5" w:themeShade="BF"/>
          <w:sz w:val="20"/>
          <w:szCs w:val="20"/>
        </w:rPr>
      </w:pPr>
      <w:r w:rsidRPr="006747DB">
        <w:rPr>
          <w:rFonts w:ascii="Arial" w:hAnsi="Arial" w:cs="Arial"/>
          <w:i/>
          <w:color w:val="31849B" w:themeColor="accent5" w:themeShade="BF"/>
          <w:sz w:val="20"/>
          <w:szCs w:val="20"/>
        </w:rPr>
        <w:t>WasteDataFlow Scotland</w:t>
      </w:r>
      <w:r w:rsidR="004F1C75">
        <w:rPr>
          <w:rFonts w:ascii="Arial" w:hAnsi="Arial" w:cs="Arial"/>
          <w:i/>
          <w:color w:val="31849B" w:themeColor="accent5" w:themeShade="BF"/>
          <w:sz w:val="20"/>
          <w:szCs w:val="20"/>
        </w:rPr>
        <w:t xml:space="preserve">, </w:t>
      </w:r>
      <w:r w:rsidR="0015224D">
        <w:rPr>
          <w:rFonts w:ascii="Arial" w:hAnsi="Arial" w:cs="Arial"/>
          <w:i/>
          <w:color w:val="31849B" w:themeColor="accent5" w:themeShade="BF"/>
          <w:sz w:val="20"/>
          <w:szCs w:val="20"/>
        </w:rPr>
        <w:t>recycling</w:t>
      </w:r>
      <w:r w:rsidR="004F1C75">
        <w:rPr>
          <w:rFonts w:ascii="Arial" w:hAnsi="Arial" w:cs="Arial"/>
          <w:i/>
          <w:color w:val="31849B" w:themeColor="accent5" w:themeShade="BF"/>
          <w:sz w:val="20"/>
          <w:szCs w:val="20"/>
        </w:rPr>
        <w:t xml:space="preserve"> request form v1</w:t>
      </w:r>
    </w:p>
    <w:p w:rsidR="00566076" w:rsidRPr="00CF0F4F" w:rsidRDefault="00566076" w:rsidP="00566076">
      <w:pPr>
        <w:rPr>
          <w:rFonts w:ascii="Arial" w:hAnsi="Arial" w:cs="Arial"/>
          <w:sz w:val="20"/>
          <w:szCs w:val="20"/>
        </w:rPr>
      </w:pPr>
    </w:p>
    <w:p w:rsidR="00566076" w:rsidRPr="0015224D" w:rsidRDefault="00566076" w:rsidP="00CF0F4F">
      <w:pPr>
        <w:jc w:val="center"/>
        <w:rPr>
          <w:rFonts w:ascii="Arial" w:hAnsi="Arial" w:cs="Arial"/>
          <w:b/>
          <w:color w:val="31849B" w:themeColor="accent5" w:themeShade="BF"/>
        </w:rPr>
      </w:pPr>
      <w:r w:rsidRPr="0015224D">
        <w:rPr>
          <w:rFonts w:ascii="Arial" w:hAnsi="Arial" w:cs="Arial"/>
          <w:b/>
          <w:color w:val="31849B" w:themeColor="accent5" w:themeShade="BF"/>
        </w:rPr>
        <w:t>Request to Add Recycling Facility to WasteDataFlow</w:t>
      </w:r>
    </w:p>
    <w:p w:rsidR="00566076" w:rsidRPr="00CF0F4F" w:rsidRDefault="00566076" w:rsidP="00566076">
      <w:pPr>
        <w:rPr>
          <w:rFonts w:ascii="Arial" w:hAnsi="Arial" w:cs="Arial"/>
          <w:sz w:val="20"/>
          <w:szCs w:val="20"/>
        </w:rPr>
      </w:pPr>
    </w:p>
    <w:p w:rsidR="006747DB" w:rsidRDefault="00CF0F4F" w:rsidP="00566076">
      <w:pPr>
        <w:rPr>
          <w:rFonts w:ascii="Arial" w:hAnsi="Arial" w:cs="Arial"/>
          <w:sz w:val="20"/>
          <w:szCs w:val="20"/>
        </w:rPr>
      </w:pPr>
      <w:r w:rsidRPr="006747DB">
        <w:rPr>
          <w:rFonts w:ascii="Arial" w:hAnsi="Arial" w:cs="Arial"/>
          <w:b/>
          <w:sz w:val="20"/>
          <w:szCs w:val="20"/>
        </w:rPr>
        <w:t>Instructions</w:t>
      </w:r>
      <w:r>
        <w:rPr>
          <w:rFonts w:ascii="Arial" w:hAnsi="Arial" w:cs="Arial"/>
          <w:sz w:val="20"/>
          <w:szCs w:val="20"/>
        </w:rPr>
        <w:t xml:space="preserve">: </w:t>
      </w:r>
    </w:p>
    <w:p w:rsidR="006747DB" w:rsidRDefault="006747DB" w:rsidP="00566076">
      <w:pPr>
        <w:rPr>
          <w:rFonts w:ascii="Arial" w:hAnsi="Arial" w:cs="Arial"/>
          <w:sz w:val="20"/>
          <w:szCs w:val="20"/>
        </w:rPr>
      </w:pPr>
    </w:p>
    <w:p w:rsidR="006747DB" w:rsidRDefault="006747DB" w:rsidP="006747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use this form for each facility you wish to use for reporting waste recycled in WasteDataFlow.  This form is for </w:t>
      </w:r>
      <w:r w:rsidRPr="008E4105">
        <w:rPr>
          <w:rFonts w:ascii="Arial" w:hAnsi="Arial" w:cs="Arial"/>
          <w:i/>
          <w:sz w:val="20"/>
          <w:szCs w:val="20"/>
        </w:rPr>
        <w:t>recycling</w:t>
      </w:r>
      <w:r>
        <w:rPr>
          <w:rFonts w:ascii="Arial" w:hAnsi="Arial" w:cs="Arial"/>
          <w:sz w:val="20"/>
          <w:szCs w:val="20"/>
        </w:rPr>
        <w:t xml:space="preserve"> facilities only</w:t>
      </w:r>
      <w:r w:rsidR="003E1BC5" w:rsidRPr="003E1BC5">
        <w:rPr>
          <w:rFonts w:ascii="Arial" w:hAnsi="Arial" w:cs="Arial"/>
          <w:i/>
          <w:sz w:val="20"/>
          <w:szCs w:val="20"/>
          <w:vertAlign w:val="superscript"/>
        </w:rPr>
        <w:fldChar w:fldCharType="begin"/>
      </w:r>
      <w:r w:rsidR="003E1BC5" w:rsidRPr="003E1BC5">
        <w:rPr>
          <w:rFonts w:ascii="Arial" w:hAnsi="Arial" w:cs="Arial"/>
          <w:i/>
          <w:sz w:val="20"/>
          <w:szCs w:val="20"/>
          <w:vertAlign w:val="superscript"/>
        </w:rPr>
        <w:instrText xml:space="preserve"> NOTEREF _Ref359330983 \h </w:instrText>
      </w:r>
      <w:r w:rsidR="003E1BC5">
        <w:rPr>
          <w:rFonts w:ascii="Arial" w:hAnsi="Arial" w:cs="Arial"/>
          <w:i/>
          <w:sz w:val="20"/>
          <w:szCs w:val="20"/>
          <w:vertAlign w:val="superscript"/>
        </w:rPr>
        <w:instrText xml:space="preserve"> \* MERGEFORMAT </w:instrText>
      </w:r>
      <w:r w:rsidR="003E1BC5" w:rsidRPr="003E1BC5">
        <w:rPr>
          <w:rFonts w:ascii="Arial" w:hAnsi="Arial" w:cs="Arial"/>
          <w:i/>
          <w:sz w:val="20"/>
          <w:szCs w:val="20"/>
          <w:vertAlign w:val="superscript"/>
        </w:rPr>
      </w:r>
      <w:r w:rsidR="003E1BC5" w:rsidRPr="003E1BC5">
        <w:rPr>
          <w:rFonts w:ascii="Arial" w:hAnsi="Arial" w:cs="Arial"/>
          <w:i/>
          <w:sz w:val="20"/>
          <w:szCs w:val="20"/>
          <w:vertAlign w:val="superscript"/>
        </w:rPr>
        <w:fldChar w:fldCharType="separate"/>
      </w:r>
      <w:r w:rsidR="003E1BC5" w:rsidRPr="003E1BC5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3E1BC5" w:rsidRPr="003E1BC5">
        <w:rPr>
          <w:rFonts w:ascii="Arial" w:hAnsi="Arial" w:cs="Arial"/>
          <w:i/>
          <w:sz w:val="20"/>
          <w:szCs w:val="20"/>
          <w:vertAlign w:val="superscript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 Do not use this form for requests to </w:t>
      </w:r>
      <w:r w:rsidR="008E4105">
        <w:rPr>
          <w:rFonts w:ascii="Arial" w:hAnsi="Arial" w:cs="Arial"/>
          <w:sz w:val="20"/>
          <w:szCs w:val="20"/>
        </w:rPr>
        <w:t>add disposal or reuse facilities.</w:t>
      </w:r>
    </w:p>
    <w:p w:rsidR="006747DB" w:rsidRDefault="006747DB" w:rsidP="00566076">
      <w:pPr>
        <w:rPr>
          <w:rFonts w:ascii="Arial" w:hAnsi="Arial" w:cs="Arial"/>
          <w:sz w:val="20"/>
          <w:szCs w:val="20"/>
        </w:rPr>
      </w:pPr>
    </w:p>
    <w:p w:rsidR="00841B47" w:rsidRDefault="00841B47" w:rsidP="00841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 to making a request to add a facility, </w:t>
      </w:r>
      <w:r w:rsidRPr="0015224D">
        <w:rPr>
          <w:rFonts w:ascii="Arial" w:hAnsi="Arial" w:cs="Arial"/>
          <w:i/>
          <w:sz w:val="20"/>
          <w:szCs w:val="20"/>
        </w:rPr>
        <w:t>please check that the facility is not already on the WasteDataFlow list of sites</w:t>
      </w:r>
      <w:r>
        <w:rPr>
          <w:rFonts w:ascii="Arial" w:hAnsi="Arial" w:cs="Arial"/>
          <w:sz w:val="20"/>
          <w:szCs w:val="20"/>
        </w:rPr>
        <w:t>.</w:t>
      </w:r>
    </w:p>
    <w:p w:rsidR="00841B47" w:rsidRDefault="00841B47" w:rsidP="00841B47">
      <w:pPr>
        <w:rPr>
          <w:rFonts w:ascii="Arial" w:hAnsi="Arial" w:cs="Arial"/>
          <w:sz w:val="20"/>
          <w:szCs w:val="20"/>
        </w:rPr>
      </w:pPr>
    </w:p>
    <w:p w:rsidR="00841B47" w:rsidRDefault="00841B47" w:rsidP="005660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that both table 1 and table 2 are fully complete.  Table 1 contains physical information about the company.  Table 2 contains information about the recycling activity.</w:t>
      </w:r>
    </w:p>
    <w:p w:rsidR="00CF0F4F" w:rsidRDefault="00CF0F4F" w:rsidP="00566076">
      <w:pPr>
        <w:rPr>
          <w:rFonts w:ascii="Arial" w:hAnsi="Arial" w:cs="Arial"/>
          <w:sz w:val="20"/>
          <w:szCs w:val="20"/>
        </w:rPr>
      </w:pPr>
    </w:p>
    <w:p w:rsidR="006747DB" w:rsidRPr="00282B2B" w:rsidRDefault="006747DB" w:rsidP="005660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fully complete, please email this form to </w:t>
      </w:r>
      <w:hyperlink r:id="rId9" w:history="1">
        <w:r w:rsidRPr="00DE1FE9">
          <w:rPr>
            <w:rStyle w:val="Hyperlink"/>
            <w:rFonts w:ascii="Arial" w:hAnsi="Arial" w:cs="Arial"/>
            <w:sz w:val="20"/>
            <w:szCs w:val="20"/>
          </w:rPr>
          <w:t>wastedata.flow@sepa.org.uk</w:t>
        </w:r>
      </w:hyperlink>
      <w:r w:rsidR="0015224D" w:rsidRPr="001C331B">
        <w:rPr>
          <w:rStyle w:val="Hyperlink"/>
          <w:rFonts w:ascii="Arial" w:hAnsi="Arial" w:cs="Arial"/>
          <w:sz w:val="20"/>
          <w:szCs w:val="20"/>
          <w:u w:val="none"/>
        </w:rPr>
        <w:t xml:space="preserve">. </w:t>
      </w:r>
      <w:r w:rsidR="0015224D" w:rsidRPr="0015224D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15224D" w:rsidRPr="00282B2B">
        <w:rPr>
          <w:rFonts w:ascii="Arial" w:hAnsi="Arial" w:cs="Arial"/>
          <w:sz w:val="20"/>
          <w:szCs w:val="20"/>
        </w:rPr>
        <w:t>We will try to complete the request within 3 business days.</w:t>
      </w:r>
    </w:p>
    <w:p w:rsidR="00C4516C" w:rsidRDefault="00C4516C" w:rsidP="00C4516C">
      <w:pPr>
        <w:pStyle w:val="Caption"/>
        <w:rPr>
          <w:color w:val="auto"/>
          <w:sz w:val="20"/>
          <w:szCs w:val="20"/>
        </w:rPr>
      </w:pPr>
    </w:p>
    <w:p w:rsidR="006747DB" w:rsidRPr="00C4516C" w:rsidRDefault="00C4516C" w:rsidP="00C4516C">
      <w:pPr>
        <w:pStyle w:val="Caption"/>
        <w:rPr>
          <w:rFonts w:ascii="Arial" w:hAnsi="Arial" w:cs="Arial"/>
          <w:color w:val="auto"/>
          <w:sz w:val="20"/>
          <w:szCs w:val="20"/>
        </w:rPr>
      </w:pPr>
      <w:proofErr w:type="gramStart"/>
      <w:r w:rsidRPr="00C4516C">
        <w:rPr>
          <w:color w:val="auto"/>
          <w:sz w:val="20"/>
          <w:szCs w:val="20"/>
        </w:rPr>
        <w:t xml:space="preserve">Table </w:t>
      </w:r>
      <w:r w:rsidRPr="00C4516C">
        <w:rPr>
          <w:color w:val="auto"/>
          <w:sz w:val="20"/>
          <w:szCs w:val="20"/>
        </w:rPr>
        <w:fldChar w:fldCharType="begin"/>
      </w:r>
      <w:r w:rsidRPr="00C4516C">
        <w:rPr>
          <w:color w:val="auto"/>
          <w:sz w:val="20"/>
          <w:szCs w:val="20"/>
        </w:rPr>
        <w:instrText xml:space="preserve"> SEQ Table \* ARABIC </w:instrText>
      </w:r>
      <w:r w:rsidRPr="00C4516C">
        <w:rPr>
          <w:color w:val="auto"/>
          <w:sz w:val="20"/>
          <w:szCs w:val="20"/>
        </w:rPr>
        <w:fldChar w:fldCharType="separate"/>
      </w:r>
      <w:r w:rsidRPr="00C4516C">
        <w:rPr>
          <w:noProof/>
          <w:color w:val="auto"/>
          <w:sz w:val="20"/>
          <w:szCs w:val="20"/>
        </w:rPr>
        <w:t>1</w:t>
      </w:r>
      <w:r w:rsidRPr="00C4516C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>.</w:t>
      </w:r>
      <w:proofErr w:type="gramEnd"/>
      <w:r>
        <w:rPr>
          <w:color w:val="auto"/>
          <w:sz w:val="20"/>
          <w:szCs w:val="20"/>
        </w:rPr>
        <w:t xml:space="preserve"> </w:t>
      </w:r>
      <w:r w:rsidRPr="00C4516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Information about the local authority and the recycling facility</w:t>
      </w:r>
    </w:p>
    <w:tbl>
      <w:tblPr>
        <w:tblStyle w:val="TableGrid"/>
        <w:tblW w:w="9215" w:type="dxa"/>
        <w:tblInd w:w="-176" w:type="dxa"/>
        <w:tblLook w:val="04A0" w:firstRow="1" w:lastRow="0" w:firstColumn="1" w:lastColumn="0" w:noHBand="0" w:noVBand="1"/>
      </w:tblPr>
      <w:tblGrid>
        <w:gridCol w:w="3686"/>
        <w:gridCol w:w="5529"/>
      </w:tblGrid>
      <w:tr w:rsidR="003D02B2" w:rsidTr="00C4516C">
        <w:tc>
          <w:tcPr>
            <w:tcW w:w="9215" w:type="dxa"/>
            <w:gridSpan w:val="2"/>
          </w:tcPr>
          <w:p w:rsidR="003D02B2" w:rsidRPr="003D02B2" w:rsidRDefault="003D02B2" w:rsidP="003D02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and Company </w:t>
            </w:r>
            <w:r w:rsidRPr="003D02B2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3D02B2" w:rsidTr="00C4516C">
        <w:tc>
          <w:tcPr>
            <w:tcW w:w="3686" w:type="dxa"/>
          </w:tcPr>
          <w:p w:rsidR="003D02B2" w:rsidRP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  <w:r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 Completing Form: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Pr="003D02B2" w:rsidRDefault="003D02B2" w:rsidP="003D02B2">
            <w:pPr>
              <w:rPr>
                <w:rFonts w:ascii="Arial" w:hAnsi="Arial" w:cs="Arial"/>
                <w:sz w:val="20"/>
                <w:szCs w:val="20"/>
              </w:rPr>
            </w:pPr>
            <w:r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Authority: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Pr="003D02B2" w:rsidRDefault="003D02B2" w:rsidP="003D02B2">
            <w:pPr>
              <w:rPr>
                <w:rFonts w:ascii="Arial" w:hAnsi="Arial" w:cs="Arial"/>
                <w:sz w:val="20"/>
                <w:szCs w:val="20"/>
              </w:rPr>
            </w:pPr>
            <w:r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Company Name of Recycling Facility: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Pr="003D02B2" w:rsidRDefault="003D02B2" w:rsidP="003D02B2">
            <w:pPr>
              <w:rPr>
                <w:rFonts w:ascii="Arial" w:hAnsi="Arial" w:cs="Arial"/>
                <w:sz w:val="20"/>
                <w:szCs w:val="20"/>
              </w:rPr>
            </w:pPr>
            <w:r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 of Recycling Facility: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P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  <w:r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Recycling Facility Postcode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Pr="003D02B2" w:rsidRDefault="00841B47" w:rsidP="00566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003D02B2"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Recycling Facility Waste Licence or Exemption number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47" w:rsidTr="00C4516C">
        <w:tc>
          <w:tcPr>
            <w:tcW w:w="3686" w:type="dxa"/>
          </w:tcPr>
          <w:p w:rsidR="00841B47" w:rsidRPr="003D02B2" w:rsidRDefault="00841B47" w:rsidP="00566076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Accredited Reprocessor Number (if any)</w:t>
            </w:r>
          </w:p>
        </w:tc>
        <w:tc>
          <w:tcPr>
            <w:tcW w:w="5529" w:type="dxa"/>
          </w:tcPr>
          <w:p w:rsidR="00841B47" w:rsidRDefault="00841B47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Pr="003D02B2" w:rsidRDefault="00841B47" w:rsidP="00566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  <w:r w:rsidR="003D02B2">
              <w:rPr>
                <w:rFonts w:ascii="Arial" w:hAnsi="Arial" w:cs="Arial"/>
                <w:sz w:val="20"/>
                <w:szCs w:val="20"/>
              </w:rPr>
              <w:t>Principal site activity</w:t>
            </w:r>
          </w:p>
        </w:tc>
        <w:tc>
          <w:tcPr>
            <w:tcW w:w="5529" w:type="dxa"/>
          </w:tcPr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2B2" w:rsidRDefault="003D02B2" w:rsidP="0056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B2" w:rsidTr="00C4516C">
        <w:tc>
          <w:tcPr>
            <w:tcW w:w="3686" w:type="dxa"/>
          </w:tcPr>
          <w:p w:rsidR="003D02B2" w:rsidRDefault="003D02B2" w:rsidP="00566076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3D02B2">
              <w:rPr>
                <w:rFonts w:ascii="Arial" w:hAnsi="Arial" w:cs="Arial"/>
                <w:color w:val="000000" w:themeColor="text1"/>
                <w:sz w:val="20"/>
                <w:szCs w:val="20"/>
              </w:rPr>
              <w:t>Recycling Activity</w:t>
            </w:r>
          </w:p>
        </w:tc>
        <w:tc>
          <w:tcPr>
            <w:tcW w:w="5529" w:type="dxa"/>
          </w:tcPr>
          <w:p w:rsidR="003D02B2" w:rsidRDefault="003D02B2" w:rsidP="00841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841B47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C451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4516C">
              <w:rPr>
                <w:rFonts w:ascii="Arial" w:hAnsi="Arial" w:cs="Arial"/>
                <w:sz w:val="20"/>
                <w:szCs w:val="20"/>
              </w:rPr>
              <w:instrText xml:space="preserve"> REF _Ref359329974 \h </w:instrText>
            </w:r>
            <w:r w:rsidR="00C4516C">
              <w:rPr>
                <w:rFonts w:ascii="Arial" w:hAnsi="Arial" w:cs="Arial"/>
                <w:sz w:val="20"/>
                <w:szCs w:val="20"/>
              </w:rPr>
            </w:r>
            <w:r w:rsidR="00C451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516C" w:rsidRPr="00C4516C">
              <w:rPr>
                <w:sz w:val="20"/>
                <w:szCs w:val="20"/>
              </w:rPr>
              <w:t xml:space="preserve">Table </w:t>
            </w:r>
            <w:r w:rsidR="00C4516C">
              <w:rPr>
                <w:noProof/>
                <w:sz w:val="20"/>
                <w:szCs w:val="20"/>
              </w:rPr>
              <w:t>2</w:t>
            </w:r>
            <w:r w:rsidR="00C451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51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</w:tr>
    </w:tbl>
    <w:p w:rsidR="008E4105" w:rsidRPr="00CF0F4F" w:rsidRDefault="008E4105" w:rsidP="0056607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F0F4F" w:rsidRPr="00C4516C" w:rsidRDefault="00C4516C" w:rsidP="00841B47">
      <w:pPr>
        <w:pStyle w:val="Caption"/>
        <w:keepNext/>
        <w:rPr>
          <w:rFonts w:ascii="Arial" w:hAnsi="Arial" w:cs="Arial"/>
          <w:color w:val="auto"/>
          <w:sz w:val="20"/>
          <w:szCs w:val="20"/>
        </w:rPr>
      </w:pPr>
      <w:bookmarkStart w:id="0" w:name="_Ref359329974"/>
      <w:proofErr w:type="gramStart"/>
      <w:r w:rsidRPr="00C4516C">
        <w:rPr>
          <w:color w:val="auto"/>
          <w:sz w:val="20"/>
          <w:szCs w:val="20"/>
        </w:rPr>
        <w:lastRenderedPageBreak/>
        <w:t xml:space="preserve">Table </w:t>
      </w:r>
      <w:r w:rsidRPr="00C4516C">
        <w:rPr>
          <w:color w:val="auto"/>
          <w:sz w:val="20"/>
          <w:szCs w:val="20"/>
        </w:rPr>
        <w:fldChar w:fldCharType="begin"/>
      </w:r>
      <w:r w:rsidRPr="00C4516C">
        <w:rPr>
          <w:color w:val="auto"/>
          <w:sz w:val="20"/>
          <w:szCs w:val="20"/>
        </w:rPr>
        <w:instrText xml:space="preserve"> SEQ Table \* ARABIC </w:instrText>
      </w:r>
      <w:r w:rsidRPr="00C4516C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2</w:t>
      </w:r>
      <w:r w:rsidRPr="00C4516C">
        <w:rPr>
          <w:color w:val="auto"/>
          <w:sz w:val="20"/>
          <w:szCs w:val="20"/>
        </w:rPr>
        <w:fldChar w:fldCharType="end"/>
      </w:r>
      <w:bookmarkEnd w:id="0"/>
      <w:r>
        <w:rPr>
          <w:color w:val="auto"/>
          <w:sz w:val="20"/>
          <w:szCs w:val="20"/>
        </w:rPr>
        <w:t>.</w:t>
      </w:r>
      <w:proofErr w:type="gramEnd"/>
      <w:r>
        <w:rPr>
          <w:color w:val="auto"/>
          <w:sz w:val="20"/>
          <w:szCs w:val="20"/>
        </w:rPr>
        <w:t xml:space="preserve"> </w:t>
      </w:r>
      <w:r w:rsidRPr="00C4516C">
        <w:rPr>
          <w:color w:val="auto"/>
          <w:sz w:val="20"/>
          <w:szCs w:val="20"/>
        </w:rPr>
        <w:t xml:space="preserve"> High and Acceptable Quality</w:t>
      </w:r>
      <w:bookmarkStart w:id="1" w:name="_Ref359330983"/>
      <w:r w:rsidR="00841B47">
        <w:rPr>
          <w:rStyle w:val="FootnoteReference"/>
          <w:color w:val="auto"/>
          <w:sz w:val="20"/>
          <w:szCs w:val="20"/>
        </w:rPr>
        <w:footnoteReference w:id="3"/>
      </w:r>
      <w:bookmarkEnd w:id="1"/>
      <w:r w:rsidRPr="00C4516C">
        <w:rPr>
          <w:color w:val="auto"/>
          <w:sz w:val="20"/>
          <w:szCs w:val="20"/>
        </w:rPr>
        <w:t xml:space="preserve"> Recycling by Type of Material</w:t>
      </w:r>
    </w:p>
    <w:tbl>
      <w:tblPr>
        <w:tblStyle w:val="TableGrid"/>
        <w:tblW w:w="9781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234F84" w:rsidRPr="00234F84" w:rsidTr="003D02B2">
        <w:tc>
          <w:tcPr>
            <w:tcW w:w="1985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460D4" w:rsidRPr="00234F84" w:rsidRDefault="005768CE" w:rsidP="005768CE">
            <w:pPr>
              <w:pStyle w:val="Heading1"/>
              <w:spacing w:before="0"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234F84">
              <w:rPr>
                <w:color w:val="FFFFFF" w:themeColor="background1"/>
                <w:sz w:val="22"/>
                <w:szCs w:val="22"/>
              </w:rPr>
              <w:t>Material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5768CE" w:rsidRPr="00234F84" w:rsidRDefault="005768CE" w:rsidP="005768CE">
            <w:pPr>
              <w:pStyle w:val="Heading1"/>
              <w:spacing w:before="0"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234F84">
              <w:rPr>
                <w:color w:val="FFFFFF" w:themeColor="background1"/>
                <w:sz w:val="22"/>
                <w:szCs w:val="22"/>
              </w:rPr>
              <w:t>Recycling</w:t>
            </w:r>
          </w:p>
          <w:p w:rsidR="00C460D4" w:rsidRPr="00234F84" w:rsidRDefault="005768CE" w:rsidP="005768CE">
            <w:pPr>
              <w:pStyle w:val="Heading1"/>
              <w:spacing w:before="0"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234F84">
              <w:rPr>
                <w:color w:val="FFFFFF" w:themeColor="background1"/>
                <w:sz w:val="22"/>
                <w:szCs w:val="22"/>
              </w:rPr>
              <w:t>Quality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460D4" w:rsidRPr="00D81E8A" w:rsidRDefault="005768CE" w:rsidP="00D81E8A">
            <w:pPr>
              <w:pStyle w:val="Heading1"/>
              <w:spacing w:before="0" w:line="276" w:lineRule="auto"/>
              <w:jc w:val="center"/>
              <w:rPr>
                <w:color w:val="FFFFFF" w:themeColor="background1"/>
                <w:sz w:val="52"/>
                <w:szCs w:val="52"/>
              </w:rPr>
            </w:pPr>
            <w:r w:rsidRPr="00D81E8A">
              <w:rPr>
                <w:color w:val="FFFFFF" w:themeColor="background1"/>
                <w:sz w:val="22"/>
                <w:szCs w:val="22"/>
              </w:rPr>
              <w:t>Method</w:t>
            </w:r>
            <w:r w:rsidR="00D81E8A">
              <w:rPr>
                <w:rStyle w:val="FootnoteReference"/>
                <w:color w:val="FFFFFF" w:themeColor="background1"/>
                <w:sz w:val="22"/>
                <w:szCs w:val="22"/>
              </w:rPr>
              <w:footnoteReference w:id="4"/>
            </w:r>
          </w:p>
        </w:tc>
      </w:tr>
      <w:tr w:rsidR="00C460D4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460D4" w:rsidRPr="00B10A89" w:rsidRDefault="00C460D4" w:rsidP="00234F84">
            <w:pPr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sz w:val="20"/>
                <w:szCs w:val="20"/>
              </w:rPr>
              <w:t>Metals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460D4" w:rsidRPr="00B10A89" w:rsidRDefault="00C460D4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bookmarkStart w:id="2" w:name="Check1"/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234F84" w:rsidRDefault="00C460D4" w:rsidP="00B10A89">
            <w:pPr>
              <w:pStyle w:val="Subtitle"/>
              <w:keepNext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bookmarkEnd w:id="2"/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Re-melt</w:t>
            </w:r>
          </w:p>
        </w:tc>
      </w:tr>
      <w:tr w:rsidR="00C460D4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460D4" w:rsidRPr="00B10A89" w:rsidRDefault="00C460D4" w:rsidP="005768CE">
            <w:pPr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460D4" w:rsidRPr="00B10A89" w:rsidRDefault="00C460D4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460D4" w:rsidRPr="00234F84" w:rsidRDefault="00C460D4" w:rsidP="005768CE">
            <w:pPr>
              <w:keepNext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34F84">
              <w:rPr>
                <w:i/>
                <w:color w:val="808080" w:themeColor="background1" w:themeShade="80"/>
                <w:sz w:val="20"/>
                <w:szCs w:val="20"/>
              </w:rPr>
              <w:t>There are very limited applications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841B47" w:rsidP="00841B47">
            <w:pPr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otnoteReference"/>
                <w:b/>
                <w:i/>
                <w:color w:val="000000" w:themeColor="text1"/>
                <w:sz w:val="20"/>
                <w:szCs w:val="20"/>
              </w:rPr>
              <w:footnoteReference w:id="5"/>
            </w:r>
            <w:r w:rsidR="005768CE" w:rsidRPr="00B10A89">
              <w:rPr>
                <w:b/>
                <w:i/>
                <w:color w:val="000000" w:themeColor="text1"/>
                <w:sz w:val="20"/>
                <w:szCs w:val="20"/>
              </w:rPr>
              <w:t>Glass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234F84" w:rsidRDefault="005768CE" w:rsidP="00B10A89">
            <w:pPr>
              <w:pStyle w:val="Subtitle"/>
              <w:keepNext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Re-melt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234F84" w:rsidRDefault="005768CE" w:rsidP="00B10A89">
            <w:pPr>
              <w:pStyle w:val="Subtitle"/>
              <w:keepNext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Glass fibre production or similar applications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234F84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Food Waste/Garden Waste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234F84" w:rsidRDefault="005768CE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Composting or Anaerobic digestion with PAS100/110 outputs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234F84" w:rsidRDefault="005768CE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 Composting or Anaerobic digestion where PAS100/110 outputs are not met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234F84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Paper and Card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234F84" w:rsidRDefault="005768CE" w:rsidP="00B10A89">
            <w:pPr>
              <w:pStyle w:val="Subtitle"/>
              <w:keepNext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Paper mill feedstock for production of new pulp 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234F84" w:rsidRDefault="005768CE" w:rsidP="00B10A89">
            <w:pPr>
              <w:pStyle w:val="Subtitle"/>
              <w:keepNext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Production of other fibre based products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Plastics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234F84" w:rsidRDefault="005768CE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into pellets and flakes for manufacture of new plastic products, that can be readily recycled again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234F84" w:rsidRDefault="005768CE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into pellets and flakes for manufacture of lower grade plastic products, that lose the ability to be recycled in the future </w:t>
            </w:r>
          </w:p>
          <w:p w:rsidR="005768CE" w:rsidRPr="00234F84" w:rsidRDefault="005768CE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of plastic film into new packaging applications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WEEE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234F84" w:rsidRDefault="005768CE" w:rsidP="00B10A89">
            <w:pPr>
              <w:pStyle w:val="Subtitle"/>
              <w:keepNext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of component ma</w:t>
            </w:r>
            <w:r w:rsidR="00B10A89"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terials (metals</w: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, plastics, glass and rare-earth metals – see above)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768CE" w:rsidRPr="00234F84" w:rsidRDefault="005768CE" w:rsidP="005768CE">
            <w:pPr>
              <w:keepNext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34F84">
              <w:rPr>
                <w:i/>
                <w:color w:val="808080" w:themeColor="background1" w:themeShade="80"/>
                <w:sz w:val="20"/>
                <w:szCs w:val="20"/>
              </w:rPr>
              <w:t>There are very limited applications</w:t>
            </w:r>
          </w:p>
        </w:tc>
      </w:tr>
      <w:tr w:rsidR="005768CE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B10A89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Wood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B10A89" w:rsidRDefault="005768CE" w:rsidP="005768CE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768CE" w:rsidRPr="00234F84" w:rsidRDefault="005768CE" w:rsidP="00B10A89">
            <w:pPr>
              <w:pStyle w:val="Subtitle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of wood into other wood products </w:t>
            </w:r>
          </w:p>
        </w:tc>
      </w:tr>
      <w:tr w:rsidR="00B10A89" w:rsidRPr="00B10A89" w:rsidTr="00841B47">
        <w:trPr>
          <w:trHeight w:val="278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B10A89" w:rsidRDefault="00B10A89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B10A89" w:rsidRDefault="00B10A89" w:rsidP="005768CE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234F84" w:rsidRDefault="00B10A89" w:rsidP="00B10A89">
            <w:pPr>
              <w:keepNext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34F84">
              <w:rPr>
                <w:i/>
                <w:color w:val="808080" w:themeColor="background1" w:themeShade="80"/>
                <w:sz w:val="20"/>
                <w:szCs w:val="20"/>
              </w:rPr>
              <w:t>There are very limited applications</w:t>
            </w:r>
          </w:p>
        </w:tc>
      </w:tr>
      <w:tr w:rsidR="00B10A89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B10A89" w:rsidRDefault="00B10A89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Textiles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B10A89" w:rsidRDefault="00B10A89" w:rsidP="00B10A89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234F84" w:rsidRDefault="00B10A89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of textiles into yarn</w:t>
            </w:r>
          </w:p>
          <w:p w:rsidR="00B10A89" w:rsidRPr="00234F84" w:rsidRDefault="00B10A89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808080" w:themeColor="background1" w:themeShade="80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Recycling of textiles into filling materials (e.g. insulation)</w:t>
            </w:r>
          </w:p>
        </w:tc>
      </w:tr>
      <w:tr w:rsidR="00B10A89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B10A89" w:rsidRDefault="00B10A89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B10A89" w:rsidRDefault="00B10A89" w:rsidP="00B10A89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234F84" w:rsidRDefault="00B10A89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808080" w:themeColor="background1" w:themeShade="80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Conversion of textiles into usable product such as wipers/rags</w:t>
            </w:r>
          </w:p>
        </w:tc>
      </w:tr>
      <w:tr w:rsidR="00B10A89" w:rsidRPr="00B10A89" w:rsidTr="00841B47">
        <w:tc>
          <w:tcPr>
            <w:tcW w:w="19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B10A89" w:rsidRDefault="00B10A89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10A89">
              <w:rPr>
                <w:b/>
                <w:i/>
                <w:color w:val="000000" w:themeColor="text1"/>
                <w:sz w:val="20"/>
                <w:szCs w:val="20"/>
              </w:rPr>
              <w:t>Tyres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B10A89" w:rsidRDefault="00B10A89" w:rsidP="00B10A89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High Quality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B10A89" w:rsidRPr="00234F84" w:rsidRDefault="00B10A89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Recovery of rubber for use in road surfaces</w:t>
            </w:r>
          </w:p>
          <w:p w:rsidR="00B10A89" w:rsidRPr="00234F84" w:rsidRDefault="00B10A89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Recovery of metals for </w:t>
            </w:r>
            <w:proofErr w:type="spellStart"/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recyclings</w:t>
            </w:r>
            <w:proofErr w:type="spellEnd"/>
          </w:p>
          <w:p w:rsidR="00B10A89" w:rsidRPr="00234F84" w:rsidRDefault="00B10A89" w:rsidP="004F1C75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808080" w:themeColor="background1" w:themeShade="80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Use of recycled tyre crumb in place of virgin rubber</w:t>
            </w:r>
          </w:p>
        </w:tc>
      </w:tr>
      <w:tr w:rsidR="00B10A89" w:rsidRPr="00B10A89" w:rsidTr="00841B47"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B10A89" w:rsidRDefault="00B10A89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B10A89" w:rsidRDefault="00B10A89" w:rsidP="00B10A89">
            <w:pPr>
              <w:pStyle w:val="Subtitle"/>
              <w:keepNext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A89">
              <w:rPr>
                <w:sz w:val="20"/>
                <w:szCs w:val="20"/>
              </w:rPr>
              <w:t>Acceptable Quality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10A89" w:rsidRPr="00234F84" w:rsidRDefault="00B10A89" w:rsidP="00282B2B">
            <w:pPr>
              <w:pStyle w:val="Subtitle"/>
              <w:keepNext/>
              <w:ind w:left="398" w:hanging="398"/>
              <w:rPr>
                <w:rFonts w:ascii="Times New Roman" w:hAnsi="Times New Roman" w:cs="Times New Roman"/>
                <w:i w:val="0"/>
                <w:color w:val="808080" w:themeColor="background1" w:themeShade="80"/>
                <w:sz w:val="20"/>
                <w:szCs w:val="20"/>
              </w:rPr>
            </w:pP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instrText xml:space="preserve"> FORMCHECKBOX </w:instrText>
            </w:r>
            <w:r w:rsidR="00D81E8A"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fldChar w:fldCharType="end"/>
            </w:r>
            <w:r w:rsidRPr="00234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Sea defences or drainage fill, replacing materials such as gravel</w:t>
            </w:r>
          </w:p>
        </w:tc>
      </w:tr>
      <w:tr w:rsidR="00915562" w:rsidRPr="00B10A89" w:rsidTr="003D02B2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62" w:rsidRDefault="00915562" w:rsidP="005768CE">
            <w:pPr>
              <w:keepNext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Other</w:t>
            </w:r>
          </w:p>
          <w:p w:rsidR="00915562" w:rsidRPr="00B10A89" w:rsidRDefault="00915562" w:rsidP="00915562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62" w:rsidRPr="00915562" w:rsidRDefault="00915562" w:rsidP="00915562">
            <w:pPr>
              <w:pStyle w:val="Subtitle"/>
              <w:keepNext/>
              <w:jc w:val="center"/>
              <w:rPr>
                <w:sz w:val="20"/>
                <w:szCs w:val="20"/>
              </w:rPr>
            </w:pPr>
            <w:r w:rsidRPr="00915562">
              <w:rPr>
                <w:sz w:val="20"/>
                <w:szCs w:val="20"/>
              </w:rPr>
              <w:t>Acceptable Quality</w:t>
            </w:r>
          </w:p>
          <w:p w:rsidR="00915562" w:rsidRPr="00915562" w:rsidRDefault="00915562" w:rsidP="00B10A89">
            <w:pPr>
              <w:pStyle w:val="Subtitle"/>
              <w:keepNext/>
              <w:jc w:val="center"/>
              <w:rPr>
                <w:rFonts w:ascii="Times New Roman" w:eastAsiaTheme="minorHAnsi" w:hAnsi="Times New Roman" w:cs="Times New Roman"/>
                <w:b/>
                <w:iCs w:val="0"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62" w:rsidRPr="004F1C75" w:rsidRDefault="00915562" w:rsidP="00915562">
            <w:pPr>
              <w:rPr>
                <w:rFonts w:eastAsiaTheme="majorEastAsia"/>
                <w:iCs/>
                <w:spacing w:val="15"/>
                <w:sz w:val="20"/>
                <w:szCs w:val="20"/>
              </w:rPr>
            </w:pPr>
            <w:r w:rsidRPr="004F1C75">
              <w:rPr>
                <w:rFonts w:eastAsiaTheme="majorEastAsia"/>
                <w:iCs/>
                <w:spacing w:val="15"/>
                <w:sz w:val="20"/>
                <w:szCs w:val="20"/>
              </w:rPr>
              <w:t>If the material or recycling activity is not covered above, and you believe the material is recycled to an acceptable quality, please provide details</w:t>
            </w:r>
            <w:r w:rsidR="004F1C75">
              <w:rPr>
                <w:rFonts w:eastAsiaTheme="majorEastAsia"/>
                <w:iCs/>
                <w:spacing w:val="15"/>
                <w:sz w:val="20"/>
                <w:szCs w:val="20"/>
              </w:rPr>
              <w:t xml:space="preserve"> here</w:t>
            </w:r>
            <w:r w:rsidRPr="004F1C75">
              <w:rPr>
                <w:rFonts w:eastAsiaTheme="majorEastAsia"/>
                <w:iCs/>
                <w:spacing w:val="15"/>
                <w:sz w:val="20"/>
                <w:szCs w:val="20"/>
              </w:rPr>
              <w:t>:</w:t>
            </w:r>
          </w:p>
          <w:p w:rsidR="00915562" w:rsidRDefault="00915562" w:rsidP="00B10A89">
            <w:pPr>
              <w:pStyle w:val="Subtitle"/>
              <w:keepNext/>
              <w:rPr>
                <w:rFonts w:ascii="Times New Roman" w:eastAsiaTheme="minorHAnsi" w:hAnsi="Times New Roman" w:cs="Times New Roman"/>
                <w:b/>
                <w:iCs w:val="0"/>
                <w:color w:val="000000" w:themeColor="text1"/>
                <w:spacing w:val="0"/>
                <w:sz w:val="20"/>
                <w:szCs w:val="20"/>
              </w:rPr>
            </w:pPr>
          </w:p>
          <w:p w:rsidR="00915562" w:rsidRDefault="00915562" w:rsidP="00915562"/>
          <w:p w:rsidR="00282B2B" w:rsidRDefault="00282B2B" w:rsidP="00915562"/>
          <w:p w:rsidR="00282B2B" w:rsidRDefault="00282B2B" w:rsidP="00915562"/>
          <w:p w:rsidR="00282B2B" w:rsidRDefault="00282B2B" w:rsidP="00915562">
            <w:bookmarkStart w:id="3" w:name="_GoBack"/>
            <w:bookmarkEnd w:id="3"/>
          </w:p>
          <w:p w:rsidR="003D02B2" w:rsidRDefault="003D02B2" w:rsidP="00915562"/>
          <w:p w:rsidR="003D02B2" w:rsidRDefault="003D02B2" w:rsidP="00915562"/>
          <w:p w:rsidR="00915562" w:rsidRDefault="00915562" w:rsidP="00915562"/>
          <w:p w:rsidR="00915562" w:rsidRDefault="00915562" w:rsidP="00915562"/>
          <w:p w:rsidR="00915562" w:rsidRPr="00841B47" w:rsidRDefault="00915562" w:rsidP="00915562">
            <w:pPr>
              <w:rPr>
                <w:b/>
              </w:rPr>
            </w:pPr>
          </w:p>
          <w:p w:rsidR="00915562" w:rsidRPr="00915562" w:rsidRDefault="00915562" w:rsidP="00915562"/>
        </w:tc>
      </w:tr>
    </w:tbl>
    <w:p w:rsidR="005768CE" w:rsidRPr="00B10A89" w:rsidRDefault="005768CE" w:rsidP="00841B47">
      <w:pPr>
        <w:rPr>
          <w:rFonts w:ascii="Arial" w:hAnsi="Arial" w:cs="Arial"/>
          <w:sz w:val="20"/>
          <w:szCs w:val="20"/>
        </w:rPr>
      </w:pPr>
    </w:p>
    <w:sectPr w:rsidR="005768CE" w:rsidRPr="00B10A89" w:rsidSect="00947E77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4D" w:rsidRDefault="0015224D" w:rsidP="00841B47">
      <w:r>
        <w:separator/>
      </w:r>
    </w:p>
  </w:endnote>
  <w:endnote w:type="continuationSeparator" w:id="0">
    <w:p w:rsidR="0015224D" w:rsidRDefault="0015224D" w:rsidP="008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4D" w:rsidRDefault="0015224D" w:rsidP="00841B47">
      <w:r>
        <w:separator/>
      </w:r>
    </w:p>
  </w:footnote>
  <w:footnote w:type="continuationSeparator" w:id="0">
    <w:p w:rsidR="0015224D" w:rsidRDefault="0015224D" w:rsidP="00841B47">
      <w:r>
        <w:continuationSeparator/>
      </w:r>
    </w:p>
  </w:footnote>
  <w:footnote w:id="1">
    <w:p w:rsidR="0015224D" w:rsidRDefault="001522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0F4F">
        <w:rPr>
          <w:rFonts w:ascii="Arial" w:hAnsi="Arial" w:cs="Arial"/>
          <w:color w:val="000000" w:themeColor="text1"/>
        </w:rPr>
        <w:t xml:space="preserve">SEPA licences are always prefixed by “WML” </w:t>
      </w:r>
      <w:r>
        <w:rPr>
          <w:rFonts w:ascii="Arial" w:hAnsi="Arial" w:cs="Arial"/>
          <w:color w:val="000000" w:themeColor="text1"/>
        </w:rPr>
        <w:t>or “PPC”.  SEPA exemption numbers</w:t>
      </w:r>
      <w:r w:rsidRPr="00CF0F4F">
        <w:rPr>
          <w:rFonts w:ascii="Arial" w:hAnsi="Arial" w:cs="Arial"/>
          <w:color w:val="000000" w:themeColor="text1"/>
        </w:rPr>
        <w:t xml:space="preserve"> are always prefixed by “WML”, “WMX”, </w:t>
      </w:r>
      <w:proofErr w:type="gramStart"/>
      <w:r w:rsidRPr="00CF0F4F">
        <w:rPr>
          <w:rFonts w:ascii="Arial" w:hAnsi="Arial" w:cs="Arial"/>
          <w:color w:val="000000" w:themeColor="text1"/>
        </w:rPr>
        <w:t>“</w:t>
      </w:r>
      <w:proofErr w:type="gramEnd"/>
      <w:r w:rsidRPr="00CF0F4F">
        <w:rPr>
          <w:rFonts w:ascii="Arial" w:hAnsi="Arial" w:cs="Arial"/>
          <w:color w:val="000000" w:themeColor="text1"/>
        </w:rPr>
        <w:t>WMS”</w:t>
      </w:r>
      <w:r>
        <w:rPr>
          <w:rFonts w:ascii="Arial" w:hAnsi="Arial" w:cs="Arial"/>
          <w:color w:val="000000" w:themeColor="text1"/>
        </w:rPr>
        <w:t>.  If the facility is an accredited exporter the number will commence with “SX”</w:t>
      </w:r>
    </w:p>
  </w:footnote>
  <w:footnote w:id="2">
    <w:p w:rsidR="0015224D" w:rsidRDefault="001522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</w:rPr>
        <w:t>F</w:t>
      </w:r>
      <w:r w:rsidRPr="005071C3">
        <w:rPr>
          <w:rFonts w:ascii="Arial" w:hAnsi="Arial" w:cs="Arial"/>
          <w:color w:val="000000" w:themeColor="text1"/>
        </w:rPr>
        <w:t>or sites where there are multiple activities, please state the primary activity.  For example, if a MRF is located at a landfill site, then the primary activity may be Landfill.</w:t>
      </w:r>
    </w:p>
  </w:footnote>
  <w:footnote w:id="3">
    <w:p w:rsidR="0015224D" w:rsidRPr="00841B47" w:rsidRDefault="0015224D" w:rsidP="00841B47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Categories of High and Acceptable quality recycling are from the Scottish Government’s “</w:t>
      </w:r>
      <w:r w:rsidRPr="00C4516C">
        <w:rPr>
          <w:rFonts w:ascii="Arial" w:hAnsi="Arial" w:cs="Arial"/>
          <w:i/>
          <w:sz w:val="20"/>
          <w:szCs w:val="20"/>
        </w:rPr>
        <w:t>Guidance on applying the waste hierarchy</w:t>
      </w:r>
      <w:r>
        <w:rPr>
          <w:rFonts w:ascii="Arial" w:hAnsi="Arial" w:cs="Arial"/>
          <w:sz w:val="20"/>
          <w:szCs w:val="20"/>
        </w:rPr>
        <w:t>”</w:t>
      </w:r>
    </w:p>
  </w:footnote>
  <w:footnote w:id="4">
    <w:p w:rsidR="0015224D" w:rsidRDefault="001522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1E8A">
        <w:rPr>
          <w:rFonts w:ascii="Arial" w:hAnsi="Arial" w:cs="Arial"/>
        </w:rPr>
        <w:t>To check the tick-box, double click on the check-box, choose “Checked”, and then click OK.</w:t>
      </w:r>
    </w:p>
  </w:footnote>
  <w:footnote w:id="5">
    <w:p w:rsidR="0015224D" w:rsidRPr="00841B47" w:rsidRDefault="0015224D" w:rsidP="00841B47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Pr="00B10A89">
        <w:rPr>
          <w:rFonts w:ascii="Arial" w:hAnsi="Arial" w:cs="Arial"/>
          <w:sz w:val="20"/>
          <w:szCs w:val="20"/>
        </w:rPr>
        <w:t xml:space="preserve">lass for use as aggregate is not acceptable recycling practice under </w:t>
      </w:r>
      <w:r>
        <w:rPr>
          <w:rFonts w:ascii="Arial" w:hAnsi="Arial" w:cs="Arial"/>
          <w:sz w:val="20"/>
          <w:szCs w:val="20"/>
        </w:rPr>
        <w:t>the Scotland Government’s</w:t>
      </w:r>
      <w:r w:rsidRPr="00B10A89">
        <w:rPr>
          <w:rFonts w:ascii="Arial" w:hAnsi="Arial" w:cs="Arial"/>
          <w:sz w:val="20"/>
          <w:szCs w:val="20"/>
        </w:rPr>
        <w:t xml:space="preserve"> waste hierarchy guidance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F3"/>
    <w:multiLevelType w:val="hybridMultilevel"/>
    <w:tmpl w:val="A3E2B4F6"/>
    <w:lvl w:ilvl="0" w:tplc="5B3468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E58B6"/>
    <w:multiLevelType w:val="hybridMultilevel"/>
    <w:tmpl w:val="9D344132"/>
    <w:lvl w:ilvl="0" w:tplc="5B346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7694"/>
    <w:multiLevelType w:val="hybridMultilevel"/>
    <w:tmpl w:val="7820C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BDA"/>
    <w:multiLevelType w:val="hybridMultilevel"/>
    <w:tmpl w:val="57F26B62"/>
    <w:lvl w:ilvl="0" w:tplc="EA5C71DA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1D25D4"/>
    <w:multiLevelType w:val="hybridMultilevel"/>
    <w:tmpl w:val="DE285F9E"/>
    <w:lvl w:ilvl="0" w:tplc="5B3468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90"/>
    <w:rsid w:val="00045455"/>
    <w:rsid w:val="00093D2E"/>
    <w:rsid w:val="0013573A"/>
    <w:rsid w:val="0015224D"/>
    <w:rsid w:val="00196A3D"/>
    <w:rsid w:val="001C331B"/>
    <w:rsid w:val="001D2213"/>
    <w:rsid w:val="00230289"/>
    <w:rsid w:val="00234F84"/>
    <w:rsid w:val="00282B2B"/>
    <w:rsid w:val="003B66F2"/>
    <w:rsid w:val="003C4F9E"/>
    <w:rsid w:val="003D02B2"/>
    <w:rsid w:val="003E1BC5"/>
    <w:rsid w:val="00427A3F"/>
    <w:rsid w:val="004A48E8"/>
    <w:rsid w:val="004F1C75"/>
    <w:rsid w:val="005071C3"/>
    <w:rsid w:val="0053086D"/>
    <w:rsid w:val="00542EB9"/>
    <w:rsid w:val="00566076"/>
    <w:rsid w:val="005768CE"/>
    <w:rsid w:val="006747DB"/>
    <w:rsid w:val="006B7EC6"/>
    <w:rsid w:val="006D2DA4"/>
    <w:rsid w:val="006E2890"/>
    <w:rsid w:val="00766BFD"/>
    <w:rsid w:val="00770630"/>
    <w:rsid w:val="00841B47"/>
    <w:rsid w:val="008A4CFF"/>
    <w:rsid w:val="008E4105"/>
    <w:rsid w:val="008F72E3"/>
    <w:rsid w:val="00905D04"/>
    <w:rsid w:val="00915562"/>
    <w:rsid w:val="00947E77"/>
    <w:rsid w:val="00955242"/>
    <w:rsid w:val="009D7AE7"/>
    <w:rsid w:val="009E2DE6"/>
    <w:rsid w:val="00A50E64"/>
    <w:rsid w:val="00B10A89"/>
    <w:rsid w:val="00B36E76"/>
    <w:rsid w:val="00BC1BCC"/>
    <w:rsid w:val="00BE7918"/>
    <w:rsid w:val="00BF0684"/>
    <w:rsid w:val="00C1433C"/>
    <w:rsid w:val="00C24D52"/>
    <w:rsid w:val="00C4516C"/>
    <w:rsid w:val="00C460D4"/>
    <w:rsid w:val="00CB2233"/>
    <w:rsid w:val="00CF0F4F"/>
    <w:rsid w:val="00CF6428"/>
    <w:rsid w:val="00D23396"/>
    <w:rsid w:val="00D54DB5"/>
    <w:rsid w:val="00D81E8A"/>
    <w:rsid w:val="00E1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7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A4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8A4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A4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rsid w:val="003B6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6F2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6F2"/>
    <w:pPr>
      <w:ind w:left="720"/>
      <w:contextualSpacing/>
    </w:pPr>
  </w:style>
  <w:style w:type="character" w:styleId="Hyperlink">
    <w:name w:val="Hyperlink"/>
    <w:basedOn w:val="DefaultParagraphFont"/>
    <w:rsid w:val="006747DB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C4516C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rsid w:val="00841B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1B47"/>
    <w:rPr>
      <w:rFonts w:eastAsiaTheme="minorHAnsi"/>
    </w:rPr>
  </w:style>
  <w:style w:type="character" w:styleId="FootnoteReference">
    <w:name w:val="footnote reference"/>
    <w:basedOn w:val="DefaultParagraphFont"/>
    <w:rsid w:val="00841B47"/>
    <w:rPr>
      <w:vertAlign w:val="superscript"/>
    </w:rPr>
  </w:style>
  <w:style w:type="paragraph" w:styleId="EndnoteText">
    <w:name w:val="endnote text"/>
    <w:basedOn w:val="Normal"/>
    <w:link w:val="EndnoteTextChar"/>
    <w:rsid w:val="006D2D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D2DA4"/>
    <w:rPr>
      <w:rFonts w:eastAsiaTheme="minorHAnsi"/>
    </w:rPr>
  </w:style>
  <w:style w:type="character" w:styleId="EndnoteReference">
    <w:name w:val="endnote reference"/>
    <w:basedOn w:val="DefaultParagraphFont"/>
    <w:rsid w:val="006D2D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7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A4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8A4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A4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rsid w:val="003B6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6F2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6F2"/>
    <w:pPr>
      <w:ind w:left="720"/>
      <w:contextualSpacing/>
    </w:pPr>
  </w:style>
  <w:style w:type="character" w:styleId="Hyperlink">
    <w:name w:val="Hyperlink"/>
    <w:basedOn w:val="DefaultParagraphFont"/>
    <w:rsid w:val="006747DB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C4516C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rsid w:val="00841B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1B47"/>
    <w:rPr>
      <w:rFonts w:eastAsiaTheme="minorHAnsi"/>
    </w:rPr>
  </w:style>
  <w:style w:type="character" w:styleId="FootnoteReference">
    <w:name w:val="footnote reference"/>
    <w:basedOn w:val="DefaultParagraphFont"/>
    <w:rsid w:val="00841B47"/>
    <w:rPr>
      <w:vertAlign w:val="superscript"/>
    </w:rPr>
  </w:style>
  <w:style w:type="paragraph" w:styleId="EndnoteText">
    <w:name w:val="endnote text"/>
    <w:basedOn w:val="Normal"/>
    <w:link w:val="EndnoteTextChar"/>
    <w:rsid w:val="006D2D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D2DA4"/>
    <w:rPr>
      <w:rFonts w:eastAsiaTheme="minorHAnsi"/>
    </w:rPr>
  </w:style>
  <w:style w:type="character" w:styleId="EndnoteReference">
    <w:name w:val="endnote reference"/>
    <w:basedOn w:val="DefaultParagraphFont"/>
    <w:rsid w:val="006D2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stedata.flow@se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593A-DC22-4C52-BC99-EC275982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Ferrett, Peter</dc:creator>
  <cp:keywords/>
  <dc:description/>
  <cp:lastModifiedBy>Ferrett, Peter</cp:lastModifiedBy>
  <cp:revision>13</cp:revision>
  <dcterms:created xsi:type="dcterms:W3CDTF">2013-06-18T10:08:00Z</dcterms:created>
  <dcterms:modified xsi:type="dcterms:W3CDTF">2013-06-21T13:13:00Z</dcterms:modified>
</cp:coreProperties>
</file>